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95227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95227C" w:rsidRPr="0095227C">
              <w:rPr>
                <w:rFonts w:cs="Times New Roman"/>
              </w:rPr>
              <w:t>c</w:t>
            </w:r>
            <w:r w:rsidR="00BE3606" w:rsidRPr="0095227C">
              <w:rPr>
                <w:rFonts w:cs="Times New Roman"/>
              </w:rPr>
              <w:t xml:space="preserve">) </w:t>
            </w:r>
            <w:r w:rsidR="0095227C" w:rsidRPr="0095227C">
              <w:rPr>
                <w:rFonts w:eastAsia="Times New Roman" w:cs="Times New Roman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  <w:r w:rsidR="00710C04" w:rsidRPr="0095227C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F512ED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F512ED">
              <w:t>ESI 4523</w:t>
            </w:r>
          </w:p>
        </w:tc>
        <w:tc>
          <w:tcPr>
            <w:tcW w:w="3150" w:type="dxa"/>
          </w:tcPr>
          <w:p w:rsidR="00A826D2" w:rsidRDefault="00A826D2" w:rsidP="00871BDA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871BDA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512ED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F512ED">
              <w:t>Industrial Systems Simulation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71B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1BDA"/>
    <w:rsid w:val="0087704F"/>
    <w:rsid w:val="0089020D"/>
    <w:rsid w:val="008B457E"/>
    <w:rsid w:val="008D5FC0"/>
    <w:rsid w:val="008F15FA"/>
    <w:rsid w:val="00923472"/>
    <w:rsid w:val="0095227C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512E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36</cp:revision>
  <dcterms:created xsi:type="dcterms:W3CDTF">2012-05-01T14:01:00Z</dcterms:created>
  <dcterms:modified xsi:type="dcterms:W3CDTF">2017-09-28T16:53:00Z</dcterms:modified>
</cp:coreProperties>
</file>